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9B" w:rsidRDefault="002A1C9B" w:rsidP="002A1C9B">
      <w:pPr>
        <w:spacing w:after="20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1</w:t>
      </w:r>
    </w:p>
    <w:p w:rsidR="002A1C9B" w:rsidRDefault="002A1C9B" w:rsidP="002A1C9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ІНФОРМАЦІЙНЕ ПОВІДОМЛЕННЯ 34</w:t>
      </w:r>
    </w:p>
    <w:p w:rsidR="002A1C9B" w:rsidRDefault="002A1C9B" w:rsidP="002A1C9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ЩОДО РОЗВИТКУ ТА РОЗПОВСЮДЖЕННЯ</w:t>
      </w:r>
    </w:p>
    <w:p w:rsidR="002A1C9B" w:rsidRDefault="002A1C9B" w:rsidP="002A1C9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ШКІДНИКІВ ТА ХВОРОБ СІЛЬСЬКОГОСПОДАРСЬКИХ </w:t>
      </w:r>
    </w:p>
    <w:p w:rsidR="002A1C9B" w:rsidRDefault="002A1C9B" w:rsidP="002A1C9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КУЛЬТУР У ГОСПОДАРСТВАХ ЛУГАНСЬКОЇ ОБЛАСТІ </w:t>
      </w:r>
    </w:p>
    <w:p w:rsidR="002A1C9B" w:rsidRDefault="002A1C9B" w:rsidP="002A1C9B">
      <w:pPr>
        <w:spacing w:after="2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першу декаду грудня 2019 року</w:t>
      </w:r>
    </w:p>
    <w:p w:rsidR="002A1C9B" w:rsidRDefault="002A1C9B" w:rsidP="002A1C9B">
      <w:pPr>
        <w:spacing w:after="24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 початку грудня на території Луганської області утримувалася волога та прохолодна  погода, відмічалися заморозки до -8,7С. Середньодобова температура повітря за звітний період коливалася в межах 0-    -0,4С. Максимальна температура повітря становила +6 С. У звітному періоді на території області відмічалися опади у вигляді снігу та дощу—5,6 мм. Середня відносна вологість повітря -85-87 %. На полях сніг відсутній. Ґрунт талий. Мінімальна температура грунту на глибині вузла кущіння становила -0,9  -3,1С.</w:t>
      </w:r>
    </w:p>
    <w:p w:rsidR="002A1C9B" w:rsidRDefault="002A1C9B" w:rsidP="002A1C9B">
      <w:pPr>
        <w:spacing w:after="20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uk-UA"/>
        </w:rPr>
        <w:t>Фен</w:t>
      </w:r>
      <w:r>
        <w:rPr>
          <w:rFonts w:eastAsia="Calibri"/>
          <w:b/>
          <w:sz w:val="28"/>
          <w:szCs w:val="28"/>
          <w:lang w:val="uk-UA" w:eastAsia="en-US"/>
        </w:rPr>
        <w:t>офази розвитку с/г культур</w:t>
      </w:r>
    </w:p>
    <w:p w:rsidR="002A1C9B" w:rsidRDefault="002A1C9B" w:rsidP="002A1C9B">
      <w:pPr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Озимий ріпак –  період спокою</w:t>
      </w:r>
    </w:p>
    <w:p w:rsidR="002A1C9B" w:rsidRDefault="002A1C9B" w:rsidP="002A1C9B">
      <w:pPr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Озима пшениця –  період спокою</w:t>
      </w:r>
    </w:p>
    <w:p w:rsidR="002A1C9B" w:rsidRDefault="002A1C9B" w:rsidP="002A1C9B">
      <w:pPr>
        <w:spacing w:after="200"/>
        <w:rPr>
          <w:rFonts w:eastAsia="Calibri"/>
          <w:sz w:val="28"/>
          <w:szCs w:val="28"/>
          <w:lang w:val="uk-UA" w:eastAsia="en-US"/>
        </w:rPr>
      </w:pPr>
    </w:p>
    <w:p w:rsidR="002A1C9B" w:rsidRDefault="002A1C9B" w:rsidP="002A1C9B">
      <w:pPr>
        <w:suppressAutoHyphens/>
        <w:spacing w:after="240"/>
        <w:ind w:firstLine="709"/>
        <w:jc w:val="center"/>
        <w:rPr>
          <w:b/>
          <w:sz w:val="28"/>
          <w:szCs w:val="28"/>
          <w:lang w:val="uk-UA" w:eastAsia="zh-CN"/>
        </w:rPr>
      </w:pPr>
      <w:r>
        <w:rPr>
          <w:rFonts w:eastAsia="Calibri"/>
          <w:b/>
          <w:sz w:val="28"/>
          <w:szCs w:val="28"/>
          <w:lang w:val="uk-UA" w:eastAsia="en-US"/>
        </w:rPr>
        <w:t>БАГАТОЇДНІ ШКІДНИКИ</w:t>
      </w:r>
      <w:r>
        <w:rPr>
          <w:b/>
          <w:sz w:val="28"/>
          <w:szCs w:val="28"/>
          <w:lang w:val="uk-UA" w:eastAsia="zh-CN"/>
        </w:rPr>
        <w:t xml:space="preserve"> </w:t>
      </w:r>
    </w:p>
    <w:p w:rsidR="002A1C9B" w:rsidRDefault="002A1C9B" w:rsidP="002A1C9B">
      <w:pPr>
        <w:suppressAutoHyphens/>
        <w:spacing w:after="240"/>
        <w:ind w:firstLine="709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Мишоподібні гризуни</w:t>
      </w:r>
    </w:p>
    <w:p w:rsidR="002A1C9B" w:rsidRPr="006D3EA8" w:rsidRDefault="002A1C9B" w:rsidP="002A1C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У першій декаді  грудня проводились моніторингові обстеження посівів озимої пшениці, озимого ріпаку та багаторічних трав на заселеність мишоподібними гризунами.</w:t>
      </w:r>
      <w:r w:rsidRPr="00737E70">
        <w:rPr>
          <w:lang w:val="uk-UA"/>
        </w:rPr>
        <w:t xml:space="preserve"> </w:t>
      </w:r>
      <w:r w:rsidRPr="006D3EA8">
        <w:rPr>
          <w:sz w:val="28"/>
          <w:szCs w:val="28"/>
          <w:lang w:val="uk-UA"/>
        </w:rPr>
        <w:t>Погодні</w:t>
      </w:r>
      <w:r>
        <w:rPr>
          <w:sz w:val="28"/>
          <w:szCs w:val="28"/>
          <w:lang w:val="uk-UA"/>
        </w:rPr>
        <w:t xml:space="preserve"> умови початку грудня не сприяли активному розвитку мишоподібних гризунів (дощі та сніг, незначні перепади температури повітря вдень та вночі). Чисельність лишилася майже на рівні минулих показників</w:t>
      </w:r>
      <w:r w:rsidR="000F4A6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Підвищена чисельність шкідника виявляється переважно у крайових смугах посівів.</w:t>
      </w:r>
    </w:p>
    <w:p w:rsidR="002A1C9B" w:rsidRPr="007F3ADB" w:rsidRDefault="002A1C9B" w:rsidP="002A1C9B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Так, в</w:t>
      </w:r>
      <w:r>
        <w:rPr>
          <w:sz w:val="28"/>
          <w:szCs w:val="28"/>
          <w:lang w:val="uk-UA" w:eastAsia="zh-CN"/>
        </w:rPr>
        <w:t>ідсоток заселених площ у посівах озимої пшениці складає 18</w:t>
      </w:r>
      <w:r w:rsidRPr="00A82A73">
        <w:rPr>
          <w:sz w:val="28"/>
          <w:szCs w:val="28"/>
          <w:lang w:val="uk-UA" w:eastAsia="zh-CN"/>
        </w:rPr>
        <w:t>- 4</w:t>
      </w:r>
      <w:r w:rsidR="00247192">
        <w:rPr>
          <w:sz w:val="28"/>
          <w:szCs w:val="28"/>
          <w:lang w:val="uk-UA" w:eastAsia="zh-CN"/>
        </w:rPr>
        <w:t>5</w:t>
      </w:r>
      <w:bookmarkStart w:id="0" w:name="_GoBack"/>
      <w:bookmarkEnd w:id="0"/>
      <w:r w:rsidRPr="00A82A73">
        <w:rPr>
          <w:sz w:val="28"/>
          <w:szCs w:val="28"/>
          <w:lang w:val="uk-UA" w:eastAsia="zh-CN"/>
        </w:rPr>
        <w:t>%</w:t>
      </w:r>
      <w:r>
        <w:rPr>
          <w:sz w:val="28"/>
          <w:szCs w:val="28"/>
          <w:lang w:val="uk-UA" w:eastAsia="zh-CN"/>
        </w:rPr>
        <w:t xml:space="preserve"> за середньої чисельності </w:t>
      </w:r>
      <w:r w:rsidRPr="00A82A73">
        <w:rPr>
          <w:sz w:val="28"/>
          <w:szCs w:val="28"/>
          <w:lang w:val="uk-UA" w:eastAsia="zh-CN"/>
        </w:rPr>
        <w:t>1,</w:t>
      </w:r>
      <w:r>
        <w:rPr>
          <w:sz w:val="28"/>
          <w:szCs w:val="28"/>
          <w:lang w:val="uk-UA" w:eastAsia="zh-CN"/>
        </w:rPr>
        <w:t>3</w:t>
      </w:r>
      <w:r w:rsidRPr="00A82A73">
        <w:rPr>
          <w:sz w:val="28"/>
          <w:szCs w:val="28"/>
          <w:lang w:val="uk-UA" w:eastAsia="zh-CN"/>
        </w:rPr>
        <w:t>-4</w:t>
      </w:r>
      <w:r>
        <w:rPr>
          <w:sz w:val="28"/>
          <w:szCs w:val="28"/>
          <w:lang w:val="uk-UA" w:eastAsia="zh-CN"/>
        </w:rPr>
        <w:t xml:space="preserve"> жилих колоній на 1 га </w:t>
      </w:r>
      <w:r w:rsidRPr="00A82A73">
        <w:rPr>
          <w:sz w:val="28"/>
          <w:szCs w:val="28"/>
          <w:lang w:val="uk-UA" w:eastAsia="zh-CN"/>
        </w:rPr>
        <w:t>з 2-</w:t>
      </w:r>
      <w:r>
        <w:rPr>
          <w:sz w:val="28"/>
          <w:szCs w:val="28"/>
          <w:lang w:val="uk-UA" w:eastAsia="zh-CN"/>
        </w:rPr>
        <w:t xml:space="preserve">5 жилими норами на 1 га. </w:t>
      </w:r>
      <w:r>
        <w:rPr>
          <w:rFonts w:eastAsia="Calibri"/>
          <w:sz w:val="28"/>
          <w:szCs w:val="28"/>
          <w:lang w:eastAsia="en-US"/>
        </w:rPr>
        <w:t xml:space="preserve">В посівах озимого 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іпаку </w:t>
      </w:r>
      <w:r>
        <w:rPr>
          <w:rFonts w:eastAsia="Calibri"/>
          <w:sz w:val="28"/>
          <w:szCs w:val="28"/>
          <w:lang w:val="uk-UA" w:eastAsia="en-US"/>
        </w:rPr>
        <w:t xml:space="preserve">нараховується </w:t>
      </w:r>
      <w:r w:rsidRPr="00A82A73">
        <w:rPr>
          <w:rFonts w:eastAsia="Calibri"/>
          <w:sz w:val="28"/>
          <w:szCs w:val="28"/>
          <w:lang w:val="uk-UA" w:eastAsia="en-US"/>
        </w:rPr>
        <w:t>1,2</w:t>
      </w:r>
      <w:r>
        <w:rPr>
          <w:rFonts w:eastAsia="Calibri"/>
          <w:sz w:val="28"/>
          <w:szCs w:val="28"/>
          <w:lang w:val="uk-UA" w:eastAsia="en-US"/>
        </w:rPr>
        <w:t>, максимально 3 колоній</w:t>
      </w:r>
      <w:r>
        <w:rPr>
          <w:rFonts w:eastAsia="Calibri"/>
          <w:sz w:val="28"/>
          <w:szCs w:val="28"/>
          <w:lang w:eastAsia="en-US"/>
        </w:rPr>
        <w:t xml:space="preserve"> на гектар, в них по </w:t>
      </w:r>
      <w:r w:rsidRPr="0004327D">
        <w:rPr>
          <w:rFonts w:eastAsia="Calibri"/>
          <w:sz w:val="28"/>
          <w:szCs w:val="28"/>
          <w:lang w:val="uk-UA" w:eastAsia="en-US"/>
        </w:rPr>
        <w:t>1,</w:t>
      </w:r>
      <w:r>
        <w:rPr>
          <w:rFonts w:eastAsia="Calibri"/>
          <w:sz w:val="28"/>
          <w:szCs w:val="28"/>
          <w:lang w:val="uk-UA" w:eastAsia="en-US"/>
        </w:rPr>
        <w:t>4</w:t>
      </w:r>
      <w:r w:rsidRPr="0004327D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 xml:space="preserve">4 </w:t>
      </w:r>
      <w:r>
        <w:rPr>
          <w:rFonts w:eastAsia="Calibri"/>
          <w:sz w:val="28"/>
          <w:szCs w:val="28"/>
          <w:lang w:eastAsia="en-US"/>
        </w:rPr>
        <w:t>жилих н</w:t>
      </w:r>
      <w:r>
        <w:rPr>
          <w:rFonts w:eastAsia="Calibri"/>
          <w:sz w:val="28"/>
          <w:szCs w:val="28"/>
          <w:lang w:val="uk-UA" w:eastAsia="en-US"/>
        </w:rPr>
        <w:t xml:space="preserve">ори, заселено 22-35 % обстеженої площі. </w:t>
      </w:r>
    </w:p>
    <w:p w:rsidR="002A1C9B" w:rsidRDefault="002A1C9B" w:rsidP="002A1C9B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На багаторічних травах площа заселення шкідником становить </w:t>
      </w:r>
      <w:r w:rsidRPr="0004327D"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val="uk-UA" w:eastAsia="zh-CN"/>
        </w:rPr>
        <w:t xml:space="preserve">2 </w:t>
      </w:r>
      <w:r w:rsidRPr="0004327D">
        <w:rPr>
          <w:sz w:val="28"/>
          <w:szCs w:val="28"/>
          <w:lang w:val="uk-UA" w:eastAsia="zh-CN"/>
        </w:rPr>
        <w:t>%,</w:t>
      </w:r>
      <w:r>
        <w:rPr>
          <w:sz w:val="28"/>
          <w:szCs w:val="28"/>
          <w:lang w:val="uk-UA" w:eastAsia="zh-CN"/>
        </w:rPr>
        <w:t xml:space="preserve"> середня чисельність жилих колоній становить </w:t>
      </w:r>
      <w:r w:rsidRPr="0004327D">
        <w:rPr>
          <w:sz w:val="28"/>
          <w:szCs w:val="28"/>
          <w:lang w:val="uk-UA" w:eastAsia="zh-CN"/>
        </w:rPr>
        <w:t>1,3-4</w:t>
      </w:r>
      <w:r>
        <w:rPr>
          <w:sz w:val="28"/>
          <w:szCs w:val="28"/>
          <w:lang w:val="uk-UA" w:eastAsia="zh-CN"/>
        </w:rPr>
        <w:t xml:space="preserve"> на 1 га, з 2</w:t>
      </w:r>
      <w:r w:rsidRPr="0004327D">
        <w:rPr>
          <w:sz w:val="28"/>
          <w:szCs w:val="28"/>
          <w:lang w:val="uk-UA" w:eastAsia="zh-CN"/>
        </w:rPr>
        <w:t>-5</w:t>
      </w:r>
      <w:r>
        <w:rPr>
          <w:sz w:val="28"/>
          <w:szCs w:val="28"/>
          <w:lang w:val="uk-UA" w:eastAsia="zh-CN"/>
        </w:rPr>
        <w:t xml:space="preserve"> жилими норами.</w:t>
      </w:r>
    </w:p>
    <w:p w:rsidR="002A1C9B" w:rsidRDefault="002A1C9B" w:rsidP="002A1C9B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На неорних землях чисельність шкідників становить </w:t>
      </w:r>
      <w:r w:rsidRPr="0004327D">
        <w:rPr>
          <w:sz w:val="28"/>
          <w:szCs w:val="28"/>
          <w:lang w:val="uk-UA" w:eastAsia="zh-CN"/>
        </w:rPr>
        <w:t>2-6</w:t>
      </w:r>
      <w:r>
        <w:rPr>
          <w:sz w:val="28"/>
          <w:szCs w:val="28"/>
          <w:lang w:val="uk-UA" w:eastAsia="zh-CN"/>
        </w:rPr>
        <w:t xml:space="preserve"> жилих колоній, </w:t>
      </w:r>
      <w:r w:rsidRPr="003B03BA">
        <w:rPr>
          <w:sz w:val="28"/>
          <w:szCs w:val="28"/>
          <w:lang w:val="uk-UA" w:eastAsia="zh-CN"/>
        </w:rPr>
        <w:t>заселено 70-100</w:t>
      </w:r>
      <w:r>
        <w:rPr>
          <w:sz w:val="28"/>
          <w:szCs w:val="28"/>
          <w:lang w:val="uk-UA" w:eastAsia="zh-CN"/>
        </w:rPr>
        <w:t>% обстеженої площі.</w:t>
      </w:r>
    </w:p>
    <w:p w:rsidR="002A1C9B" w:rsidRDefault="002A1C9B" w:rsidP="002A1C9B">
      <w:pPr>
        <w:suppressAutoHyphens/>
        <w:spacing w:after="24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В області триває боротьба з мишоподібними гризунами в осередках, де чисельність шкідника перевищувала ЕПШ (3-5 жилих колоній на 1 га). За звітний період було оброблено 1,7 тис га. З них 0,2 тис га – хімічним методом </w:t>
      </w:r>
      <w:r>
        <w:rPr>
          <w:sz w:val="28"/>
          <w:szCs w:val="28"/>
          <w:lang w:val="uk-UA" w:eastAsia="zh-CN"/>
        </w:rPr>
        <w:lastRenderedPageBreak/>
        <w:t xml:space="preserve">крайові обробки посівів та 1,5 тис га біометодом. Всього з початку жовтня було проведено обробки на площі 9,81 </w:t>
      </w:r>
      <w:proofErr w:type="spellStart"/>
      <w:r>
        <w:rPr>
          <w:sz w:val="28"/>
          <w:szCs w:val="28"/>
          <w:lang w:val="uk-UA" w:eastAsia="zh-CN"/>
        </w:rPr>
        <w:t>тис.га</w:t>
      </w:r>
      <w:proofErr w:type="spellEnd"/>
      <w:r>
        <w:rPr>
          <w:sz w:val="28"/>
          <w:szCs w:val="28"/>
          <w:lang w:val="uk-UA" w:eastAsia="zh-CN"/>
        </w:rPr>
        <w:t xml:space="preserve">, з них 2,02 </w:t>
      </w:r>
      <w:proofErr w:type="spellStart"/>
      <w:r>
        <w:rPr>
          <w:sz w:val="28"/>
          <w:szCs w:val="28"/>
          <w:lang w:val="uk-UA" w:eastAsia="zh-CN"/>
        </w:rPr>
        <w:t>тис.га</w:t>
      </w:r>
      <w:proofErr w:type="spellEnd"/>
      <w:r>
        <w:rPr>
          <w:sz w:val="28"/>
          <w:szCs w:val="28"/>
          <w:lang w:val="uk-UA" w:eastAsia="zh-CN"/>
        </w:rPr>
        <w:t xml:space="preserve"> – біометодом.</w:t>
      </w:r>
    </w:p>
    <w:p w:rsidR="002A1C9B" w:rsidRPr="00913381" w:rsidRDefault="002A1C9B" w:rsidP="002A1C9B">
      <w:pPr>
        <w:suppressAutoHyphens/>
        <w:ind w:firstLine="709"/>
        <w:jc w:val="both"/>
        <w:rPr>
          <w:b/>
          <w:sz w:val="28"/>
          <w:szCs w:val="28"/>
          <w:lang w:val="uk-UA" w:eastAsia="zh-CN"/>
        </w:rPr>
      </w:pPr>
      <w:r w:rsidRPr="00913381">
        <w:rPr>
          <w:b/>
          <w:sz w:val="28"/>
          <w:szCs w:val="28"/>
          <w:lang w:val="uk-UA" w:eastAsia="zh-CN"/>
        </w:rPr>
        <w:t xml:space="preserve">Подальший розвиток мишоподібних гризунів значною мірою визначатиметься </w:t>
      </w:r>
      <w:r>
        <w:rPr>
          <w:b/>
          <w:sz w:val="28"/>
          <w:szCs w:val="28"/>
          <w:lang w:val="uk-UA" w:eastAsia="zh-CN"/>
        </w:rPr>
        <w:t xml:space="preserve">подальшими </w:t>
      </w:r>
      <w:r w:rsidRPr="00913381">
        <w:rPr>
          <w:b/>
          <w:sz w:val="28"/>
          <w:szCs w:val="28"/>
          <w:lang w:val="uk-UA" w:eastAsia="zh-CN"/>
        </w:rPr>
        <w:t>погодними умовами. Стабільна температура повітря, без різких коливань, наявність снігового покриву, відсутність відлиг та наявність кормової бази сприятимуть подальшому розвитку гризунів в посівах озимини та багаторічних трав</w:t>
      </w:r>
      <w:r>
        <w:rPr>
          <w:b/>
          <w:sz w:val="28"/>
          <w:szCs w:val="28"/>
          <w:lang w:val="uk-UA" w:eastAsia="zh-CN"/>
        </w:rPr>
        <w:t>.</w:t>
      </w:r>
    </w:p>
    <w:p w:rsidR="00A3757C" w:rsidRDefault="00A3757C">
      <w:pPr>
        <w:rPr>
          <w:lang w:val="uk-UA"/>
        </w:rPr>
      </w:pPr>
    </w:p>
    <w:p w:rsidR="002A1C9B" w:rsidRPr="00ED610A" w:rsidRDefault="002A1C9B" w:rsidP="002A1C9B">
      <w:pPr>
        <w:spacing w:after="240"/>
        <w:jc w:val="center"/>
        <w:rPr>
          <w:b/>
          <w:sz w:val="28"/>
          <w:szCs w:val="28"/>
          <w:lang w:val="uk-UA"/>
        </w:rPr>
      </w:pPr>
      <w:r w:rsidRPr="00ED610A">
        <w:rPr>
          <w:b/>
          <w:sz w:val="28"/>
          <w:szCs w:val="28"/>
          <w:lang w:val="uk-UA"/>
        </w:rPr>
        <w:t>Хвороби овочів при зберіганні</w:t>
      </w:r>
    </w:p>
    <w:p w:rsidR="002A1C9B" w:rsidRPr="00A22E5E" w:rsidRDefault="002A1C9B" w:rsidP="002A1C9B">
      <w:pPr>
        <w:ind w:firstLine="709"/>
        <w:jc w:val="both"/>
        <w:rPr>
          <w:sz w:val="28"/>
          <w:szCs w:val="28"/>
          <w:lang w:val="uk-UA"/>
        </w:rPr>
      </w:pPr>
      <w:r w:rsidRPr="00ED610A">
        <w:rPr>
          <w:sz w:val="28"/>
          <w:szCs w:val="28"/>
          <w:lang w:val="uk-UA"/>
        </w:rPr>
        <w:t>У звітн</w:t>
      </w:r>
      <w:r>
        <w:rPr>
          <w:sz w:val="28"/>
          <w:szCs w:val="28"/>
          <w:lang w:val="uk-UA"/>
        </w:rPr>
        <w:t>ому періоді</w:t>
      </w:r>
      <w:r w:rsidRPr="00ED610A">
        <w:rPr>
          <w:sz w:val="28"/>
          <w:szCs w:val="28"/>
          <w:lang w:val="uk-UA"/>
        </w:rPr>
        <w:t xml:space="preserve"> провели обстеження овочів, які знаходяться на зберіганні у приватному секторі, на наявність хвороб. Овочі для  господарських потреб, суміш сортів, зберігаються у підвальному приміщенні</w:t>
      </w:r>
      <w:r>
        <w:rPr>
          <w:sz w:val="28"/>
          <w:szCs w:val="28"/>
          <w:lang w:val="uk-UA"/>
        </w:rPr>
        <w:t xml:space="preserve">, насипом на стелажах </w:t>
      </w:r>
      <w:r w:rsidRPr="00ED610A">
        <w:rPr>
          <w:sz w:val="28"/>
          <w:szCs w:val="28"/>
          <w:lang w:val="uk-UA"/>
        </w:rPr>
        <w:t xml:space="preserve">Умови зберігання задовільні. </w:t>
      </w:r>
    </w:p>
    <w:p w:rsidR="002A1C9B" w:rsidRPr="00A22E5E" w:rsidRDefault="002A1C9B" w:rsidP="002A1C9B">
      <w:pPr>
        <w:spacing w:line="259" w:lineRule="auto"/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ED610A">
        <w:rPr>
          <w:rFonts w:eastAsia="Calibri"/>
          <w:b/>
          <w:bCs/>
          <w:sz w:val="28"/>
          <w:szCs w:val="28"/>
          <w:lang w:val="uk-UA" w:eastAsia="en-US"/>
        </w:rPr>
        <w:t>Хвороби капусти</w:t>
      </w:r>
      <w:r>
        <w:rPr>
          <w:rFonts w:eastAsia="Calibri"/>
          <w:b/>
          <w:bCs/>
          <w:sz w:val="28"/>
          <w:szCs w:val="28"/>
          <w:lang w:val="uk-UA" w:eastAsia="en-US"/>
        </w:rPr>
        <w:t>:</w:t>
      </w:r>
      <w:r w:rsidRPr="00ED610A">
        <w:rPr>
          <w:rFonts w:eastAsia="Calibri"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Cs/>
          <w:sz w:val="28"/>
          <w:szCs w:val="28"/>
          <w:lang w:val="uk-UA" w:eastAsia="en-US"/>
        </w:rPr>
        <w:t>у</w:t>
      </w:r>
      <w:r w:rsidRPr="00ED610A">
        <w:rPr>
          <w:rFonts w:eastAsia="Calibri"/>
          <w:bCs/>
          <w:sz w:val="28"/>
          <w:szCs w:val="28"/>
          <w:lang w:val="uk-UA" w:eastAsia="en-US"/>
        </w:rPr>
        <w:t xml:space="preserve"> приватному секторі було обстежено  0,</w:t>
      </w:r>
      <w:r>
        <w:rPr>
          <w:rFonts w:eastAsia="Calibri"/>
          <w:bCs/>
          <w:sz w:val="28"/>
          <w:szCs w:val="28"/>
          <w:lang w:val="uk-UA" w:eastAsia="en-US"/>
        </w:rPr>
        <w:t xml:space="preserve">2 т  капусти. </w:t>
      </w:r>
      <w:r w:rsidRPr="00ED610A">
        <w:rPr>
          <w:rFonts w:eastAsia="Calibri"/>
          <w:bCs/>
          <w:sz w:val="28"/>
          <w:szCs w:val="28"/>
          <w:lang w:val="uk-UA" w:eastAsia="en-US"/>
        </w:rPr>
        <w:t xml:space="preserve"> Уражено </w:t>
      </w:r>
      <w:r>
        <w:rPr>
          <w:rFonts w:eastAsia="Calibri"/>
          <w:bCs/>
          <w:sz w:val="28"/>
          <w:szCs w:val="28"/>
          <w:lang w:val="uk-UA" w:eastAsia="en-US"/>
        </w:rPr>
        <w:t xml:space="preserve">16 </w:t>
      </w:r>
      <w:r w:rsidRPr="00ED610A">
        <w:rPr>
          <w:rFonts w:eastAsia="Calibri"/>
          <w:bCs/>
          <w:sz w:val="28"/>
          <w:szCs w:val="28"/>
          <w:lang w:val="uk-UA" w:eastAsia="en-US"/>
        </w:rPr>
        <w:t xml:space="preserve">% головок капусти. </w:t>
      </w:r>
      <w:r w:rsidRPr="008704BA">
        <w:rPr>
          <w:rFonts w:eastAsia="Calibri"/>
          <w:b/>
          <w:bCs/>
          <w:sz w:val="28"/>
          <w:szCs w:val="28"/>
          <w:lang w:val="uk-UA" w:eastAsia="en-US"/>
        </w:rPr>
        <w:t>Сірою гниллю</w:t>
      </w:r>
      <w:r w:rsidRPr="00ED610A">
        <w:rPr>
          <w:rFonts w:eastAsia="Calibri"/>
          <w:bCs/>
          <w:sz w:val="28"/>
          <w:szCs w:val="28"/>
          <w:lang w:val="uk-UA" w:eastAsia="en-US"/>
        </w:rPr>
        <w:t xml:space="preserve"> уражено - </w:t>
      </w:r>
      <w:r>
        <w:rPr>
          <w:rFonts w:eastAsia="Calibri"/>
          <w:bCs/>
          <w:sz w:val="28"/>
          <w:szCs w:val="28"/>
          <w:lang w:val="uk-UA" w:eastAsia="en-US"/>
        </w:rPr>
        <w:t xml:space="preserve">30 </w:t>
      </w:r>
      <w:r w:rsidRPr="00ED610A">
        <w:rPr>
          <w:rFonts w:eastAsia="Calibri"/>
          <w:bCs/>
          <w:sz w:val="28"/>
          <w:szCs w:val="28"/>
          <w:lang w:val="uk-UA" w:eastAsia="en-US"/>
        </w:rPr>
        <w:t>%</w:t>
      </w:r>
      <w:r>
        <w:rPr>
          <w:rFonts w:eastAsia="Calibri"/>
          <w:bCs/>
          <w:sz w:val="28"/>
          <w:szCs w:val="28"/>
          <w:lang w:val="uk-UA" w:eastAsia="en-US"/>
        </w:rPr>
        <w:t xml:space="preserve">       (5  </w:t>
      </w:r>
      <w:proofErr w:type="spellStart"/>
      <w:r>
        <w:rPr>
          <w:rFonts w:eastAsia="Calibri"/>
          <w:bCs/>
          <w:sz w:val="28"/>
          <w:szCs w:val="28"/>
          <w:lang w:val="uk-UA" w:eastAsia="en-US"/>
        </w:rPr>
        <w:t>шт</w:t>
      </w:r>
      <w:proofErr w:type="spellEnd"/>
      <w:r>
        <w:rPr>
          <w:rFonts w:eastAsia="Calibri"/>
          <w:bCs/>
          <w:sz w:val="28"/>
          <w:szCs w:val="28"/>
          <w:lang w:val="uk-UA" w:eastAsia="en-US"/>
        </w:rPr>
        <w:t>),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білою </w:t>
      </w:r>
      <w:r>
        <w:rPr>
          <w:rFonts w:eastAsia="Calibri"/>
          <w:bCs/>
          <w:sz w:val="28"/>
          <w:szCs w:val="28"/>
          <w:lang w:val="uk-UA" w:eastAsia="en-US"/>
        </w:rPr>
        <w:t xml:space="preserve">–20 % ( 3 </w:t>
      </w:r>
      <w:proofErr w:type="spellStart"/>
      <w:r>
        <w:rPr>
          <w:rFonts w:eastAsia="Calibri"/>
          <w:bCs/>
          <w:sz w:val="28"/>
          <w:szCs w:val="28"/>
          <w:lang w:val="uk-UA" w:eastAsia="en-US"/>
        </w:rPr>
        <w:t>шт</w:t>
      </w:r>
      <w:proofErr w:type="spellEnd"/>
      <w:r>
        <w:rPr>
          <w:rFonts w:eastAsia="Calibri"/>
          <w:bCs/>
          <w:sz w:val="28"/>
          <w:szCs w:val="28"/>
          <w:lang w:val="uk-UA" w:eastAsia="en-US"/>
        </w:rPr>
        <w:t xml:space="preserve">), </w:t>
      </w:r>
      <w:r w:rsidRPr="00466DBC">
        <w:rPr>
          <w:rFonts w:eastAsia="Calibri"/>
          <w:b/>
          <w:bCs/>
          <w:sz w:val="28"/>
          <w:szCs w:val="28"/>
          <w:lang w:val="uk-UA" w:eastAsia="en-US"/>
        </w:rPr>
        <w:t>фомозом</w:t>
      </w:r>
      <w:r>
        <w:rPr>
          <w:rFonts w:eastAsia="Calibri"/>
          <w:bCs/>
          <w:sz w:val="28"/>
          <w:szCs w:val="28"/>
          <w:lang w:val="uk-UA" w:eastAsia="en-US"/>
        </w:rPr>
        <w:t xml:space="preserve"> -50 % (8 </w:t>
      </w:r>
      <w:proofErr w:type="spellStart"/>
      <w:r>
        <w:rPr>
          <w:rFonts w:eastAsia="Calibri"/>
          <w:bCs/>
          <w:sz w:val="28"/>
          <w:szCs w:val="28"/>
          <w:lang w:val="uk-UA" w:eastAsia="en-US"/>
        </w:rPr>
        <w:t>шт</w:t>
      </w:r>
      <w:proofErr w:type="spellEnd"/>
      <w:r>
        <w:rPr>
          <w:rFonts w:eastAsia="Calibri"/>
          <w:bCs/>
          <w:sz w:val="28"/>
          <w:szCs w:val="28"/>
          <w:lang w:val="uk-UA" w:eastAsia="en-US"/>
        </w:rPr>
        <w:t>).</w:t>
      </w:r>
    </w:p>
    <w:p w:rsidR="002A1C9B" w:rsidRPr="00ED610A" w:rsidRDefault="002A1C9B" w:rsidP="002A1C9B">
      <w:pPr>
        <w:spacing w:after="24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33D75">
        <w:rPr>
          <w:rFonts w:eastAsia="Calibri"/>
          <w:b/>
          <w:sz w:val="28"/>
          <w:szCs w:val="28"/>
          <w:lang w:val="uk-UA" w:eastAsia="en-US"/>
        </w:rPr>
        <w:t>Хвороби картоплі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7654DF">
        <w:rPr>
          <w:rFonts w:eastAsia="Calibri"/>
          <w:sz w:val="28"/>
          <w:szCs w:val="28"/>
          <w:lang w:val="uk-UA" w:eastAsia="en-US"/>
        </w:rPr>
        <w:t>(суміш сортів)</w:t>
      </w:r>
      <w:r>
        <w:rPr>
          <w:rFonts w:eastAsia="Calibri"/>
          <w:b/>
          <w:sz w:val="28"/>
          <w:szCs w:val="28"/>
          <w:lang w:val="uk-UA" w:eastAsia="en-US"/>
        </w:rPr>
        <w:t xml:space="preserve">: 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ED610A">
        <w:rPr>
          <w:rFonts w:eastAsia="Calibri"/>
          <w:sz w:val="28"/>
          <w:szCs w:val="28"/>
          <w:lang w:val="uk-UA" w:eastAsia="en-US"/>
        </w:rPr>
        <w:t xml:space="preserve"> приватному секторі було обстежено 0,</w:t>
      </w:r>
      <w:r>
        <w:rPr>
          <w:rFonts w:eastAsia="Calibri"/>
          <w:sz w:val="28"/>
          <w:szCs w:val="28"/>
          <w:lang w:val="uk-UA" w:eastAsia="en-US"/>
        </w:rPr>
        <w:t>35 т картоплі.</w:t>
      </w:r>
      <w:r w:rsidRPr="00ED610A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Аналізом виявлено, що у</w:t>
      </w:r>
      <w:r w:rsidRPr="00ED610A">
        <w:rPr>
          <w:rFonts w:eastAsia="Calibri"/>
          <w:sz w:val="28"/>
          <w:szCs w:val="28"/>
          <w:lang w:val="uk-UA" w:eastAsia="en-US"/>
        </w:rPr>
        <w:t>раже</w:t>
      </w:r>
      <w:r>
        <w:rPr>
          <w:rFonts w:eastAsia="Calibri"/>
          <w:sz w:val="28"/>
          <w:szCs w:val="28"/>
          <w:lang w:val="uk-UA" w:eastAsia="en-US"/>
        </w:rPr>
        <w:t>но</w:t>
      </w:r>
      <w:r w:rsidRPr="00ED610A">
        <w:rPr>
          <w:rFonts w:eastAsia="Calibri"/>
          <w:sz w:val="28"/>
          <w:szCs w:val="28"/>
          <w:lang w:val="uk-UA" w:eastAsia="en-US"/>
        </w:rPr>
        <w:t xml:space="preserve">  1</w:t>
      </w:r>
      <w:r>
        <w:rPr>
          <w:rFonts w:eastAsia="Calibri"/>
          <w:sz w:val="28"/>
          <w:szCs w:val="28"/>
          <w:lang w:val="uk-UA" w:eastAsia="en-US"/>
        </w:rPr>
        <w:t>6</w:t>
      </w:r>
      <w:r w:rsidRPr="00ED610A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-25</w:t>
      </w:r>
      <w:r w:rsidRPr="00ED610A">
        <w:rPr>
          <w:rFonts w:eastAsia="Calibri"/>
          <w:sz w:val="28"/>
          <w:szCs w:val="28"/>
          <w:lang w:val="uk-UA" w:eastAsia="en-US"/>
        </w:rPr>
        <w:t xml:space="preserve">% бульб. З них уражено сухою гниллю </w:t>
      </w:r>
      <w:r>
        <w:rPr>
          <w:rFonts w:eastAsia="Calibri"/>
          <w:sz w:val="28"/>
          <w:szCs w:val="28"/>
          <w:lang w:val="uk-UA" w:eastAsia="en-US"/>
        </w:rPr>
        <w:t xml:space="preserve">35-50 </w:t>
      </w:r>
      <w:r w:rsidRPr="00ED610A">
        <w:rPr>
          <w:rFonts w:eastAsia="Calibri"/>
          <w:sz w:val="28"/>
          <w:szCs w:val="28"/>
          <w:lang w:val="uk-UA" w:eastAsia="en-US"/>
        </w:rPr>
        <w:t>% (</w:t>
      </w:r>
      <w:r>
        <w:rPr>
          <w:rFonts w:eastAsia="Calibri"/>
          <w:sz w:val="28"/>
          <w:szCs w:val="28"/>
          <w:lang w:val="uk-UA" w:eastAsia="en-US"/>
        </w:rPr>
        <w:t xml:space="preserve">8-9 </w:t>
      </w:r>
      <w:proofErr w:type="spellStart"/>
      <w:r w:rsidRPr="00ED610A">
        <w:rPr>
          <w:rFonts w:eastAsia="Calibri"/>
          <w:sz w:val="28"/>
          <w:szCs w:val="28"/>
          <w:lang w:val="uk-UA" w:eastAsia="en-US"/>
        </w:rPr>
        <w:t>шт</w:t>
      </w:r>
      <w:proofErr w:type="spellEnd"/>
      <w:r w:rsidRPr="00ED610A">
        <w:rPr>
          <w:rFonts w:eastAsia="Calibri"/>
          <w:sz w:val="28"/>
          <w:szCs w:val="28"/>
          <w:lang w:val="uk-UA" w:eastAsia="en-US"/>
        </w:rPr>
        <w:t xml:space="preserve">), фітофторозом </w:t>
      </w:r>
      <w:r>
        <w:rPr>
          <w:rFonts w:eastAsia="Calibri"/>
          <w:sz w:val="28"/>
          <w:szCs w:val="28"/>
          <w:lang w:val="uk-UA" w:eastAsia="en-US"/>
        </w:rPr>
        <w:t xml:space="preserve"> 38-44</w:t>
      </w:r>
      <w:r w:rsidRPr="00ED610A">
        <w:rPr>
          <w:rFonts w:eastAsia="Calibri"/>
          <w:sz w:val="28"/>
          <w:szCs w:val="28"/>
          <w:lang w:val="uk-UA" w:eastAsia="en-US"/>
        </w:rPr>
        <w:t>% (</w:t>
      </w:r>
      <w:r>
        <w:rPr>
          <w:rFonts w:eastAsia="Calibri"/>
          <w:sz w:val="28"/>
          <w:szCs w:val="28"/>
          <w:lang w:val="uk-UA" w:eastAsia="en-US"/>
        </w:rPr>
        <w:t xml:space="preserve"> 6-11 </w:t>
      </w:r>
      <w:proofErr w:type="spellStart"/>
      <w:r w:rsidRPr="00ED610A">
        <w:rPr>
          <w:rFonts w:eastAsia="Calibri"/>
          <w:sz w:val="28"/>
          <w:szCs w:val="28"/>
          <w:lang w:val="uk-UA" w:eastAsia="en-US"/>
        </w:rPr>
        <w:t>шт</w:t>
      </w:r>
      <w:proofErr w:type="spellEnd"/>
      <w:r w:rsidRPr="00ED610A">
        <w:rPr>
          <w:rFonts w:eastAsia="Calibri"/>
          <w:sz w:val="28"/>
          <w:szCs w:val="28"/>
          <w:lang w:val="uk-UA" w:eastAsia="en-US"/>
        </w:rPr>
        <w:t>),</w:t>
      </w:r>
      <w:r>
        <w:rPr>
          <w:rFonts w:eastAsia="Calibri"/>
          <w:sz w:val="28"/>
          <w:szCs w:val="28"/>
          <w:lang w:val="uk-UA" w:eastAsia="en-US"/>
        </w:rPr>
        <w:t xml:space="preserve"> звичайною паршою 21%</w:t>
      </w:r>
      <w:r w:rsidRPr="00ED610A">
        <w:rPr>
          <w:rFonts w:eastAsia="Calibri"/>
          <w:sz w:val="28"/>
          <w:szCs w:val="28"/>
          <w:lang w:val="uk-UA" w:eastAsia="en-US"/>
        </w:rPr>
        <w:t>(</w:t>
      </w:r>
      <w:r>
        <w:rPr>
          <w:rFonts w:eastAsia="Calibri"/>
          <w:sz w:val="28"/>
          <w:szCs w:val="28"/>
          <w:lang w:val="uk-UA" w:eastAsia="en-US"/>
        </w:rPr>
        <w:t>5</w:t>
      </w:r>
      <w:r w:rsidRPr="00ED610A">
        <w:rPr>
          <w:rFonts w:eastAsia="Calibri"/>
          <w:sz w:val="28"/>
          <w:szCs w:val="28"/>
          <w:lang w:val="uk-UA" w:eastAsia="en-US"/>
        </w:rPr>
        <w:t>шт)</w:t>
      </w:r>
      <w:r>
        <w:rPr>
          <w:rFonts w:eastAsia="Calibri"/>
          <w:sz w:val="28"/>
          <w:szCs w:val="28"/>
          <w:lang w:val="uk-UA" w:eastAsia="en-US"/>
        </w:rPr>
        <w:t>, мокрою бактеріальною гниллю -12% (2шт).</w:t>
      </w:r>
    </w:p>
    <w:p w:rsidR="002A1C9B" w:rsidRPr="00ED610A" w:rsidRDefault="002A1C9B" w:rsidP="002A1C9B">
      <w:pPr>
        <w:spacing w:after="200"/>
        <w:ind w:firstLine="709"/>
        <w:jc w:val="both"/>
        <w:rPr>
          <w:rFonts w:ascii="Calibri" w:eastAsia="Calibri" w:hAnsi="Calibri"/>
          <w:b/>
          <w:sz w:val="22"/>
          <w:szCs w:val="22"/>
          <w:lang w:val="uk-UA" w:eastAsia="en-US"/>
        </w:rPr>
      </w:pPr>
      <w:r w:rsidRPr="00ED610A">
        <w:rPr>
          <w:rFonts w:eastAsia="Calibri"/>
          <w:b/>
          <w:sz w:val="28"/>
          <w:szCs w:val="28"/>
          <w:lang w:val="uk-UA" w:eastAsia="en-US"/>
        </w:rPr>
        <w:t>Рекомендован</w:t>
      </w:r>
      <w:r w:rsidRPr="00ED610A">
        <w:rPr>
          <w:rFonts w:eastAsia="Calibri"/>
          <w:sz w:val="28"/>
          <w:szCs w:val="28"/>
          <w:lang w:val="uk-UA" w:eastAsia="en-US"/>
        </w:rPr>
        <w:t>о : Перебрати уражені клубні картоплі , уражені головки капусти почистити та підтримувати оптимальну температур та вологість повітря  під час зберігання овочів</w:t>
      </w:r>
    </w:p>
    <w:p w:rsidR="002A1C9B" w:rsidRPr="00225087" w:rsidRDefault="002A1C9B" w:rsidP="002A1C9B">
      <w:pPr>
        <w:jc w:val="center"/>
        <w:rPr>
          <w:lang w:val="uk-UA"/>
        </w:rPr>
      </w:pPr>
    </w:p>
    <w:p w:rsidR="002A1C9B" w:rsidRPr="002A1C9B" w:rsidRDefault="002A1C9B">
      <w:pPr>
        <w:rPr>
          <w:lang w:val="uk-UA"/>
        </w:rPr>
      </w:pPr>
    </w:p>
    <w:sectPr w:rsidR="002A1C9B" w:rsidRPr="002A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8A"/>
    <w:rsid w:val="000F4A61"/>
    <w:rsid w:val="00247192"/>
    <w:rsid w:val="0026248A"/>
    <w:rsid w:val="002A1C9B"/>
    <w:rsid w:val="00A3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2019-12-11T12:37:00Z</dcterms:created>
  <dcterms:modified xsi:type="dcterms:W3CDTF">2019-12-12T08:02:00Z</dcterms:modified>
</cp:coreProperties>
</file>