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8"/>
      </w:tblGrid>
      <w:tr w:rsidR="008F04C9" w:rsidRPr="008F04C9" w:rsidTr="00B62370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8F04C9" w:rsidRPr="008F04C9" w:rsidRDefault="008F04C9" w:rsidP="008F04C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93237"/>
              </w:rPr>
            </w:pPr>
          </w:p>
        </w:tc>
      </w:tr>
    </w:tbl>
    <w:p w:rsidR="008F04C9" w:rsidRPr="008F04C9" w:rsidRDefault="008F04C9" w:rsidP="008F04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3237"/>
          <w:sz w:val="24"/>
          <w:szCs w:val="24"/>
        </w:rPr>
      </w:pPr>
      <w:proofErr w:type="spellStart"/>
      <w:r w:rsidRPr="008F04C9">
        <w:rPr>
          <w:rFonts w:ascii="Times New Roman" w:eastAsia="Times New Roman" w:hAnsi="Times New Roman" w:cs="Times New Roman"/>
          <w:b/>
          <w:bCs/>
          <w:color w:val="293237"/>
          <w:sz w:val="24"/>
          <w:szCs w:val="24"/>
        </w:rPr>
        <w:t>Наказ</w:t>
      </w:r>
      <w:proofErr w:type="spellEnd"/>
    </w:p>
    <w:p w:rsidR="008F04C9" w:rsidRPr="008F04C9" w:rsidRDefault="008F04C9" w:rsidP="008F04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93237"/>
          <w:sz w:val="24"/>
          <w:szCs w:val="24"/>
        </w:rPr>
      </w:pPr>
      <w:r w:rsidRPr="008F04C9">
        <w:rPr>
          <w:rFonts w:ascii="Times New Roman" w:eastAsia="Times New Roman" w:hAnsi="Times New Roman" w:cs="Times New Roman"/>
          <w:b/>
          <w:bCs/>
          <w:color w:val="293237"/>
          <w:sz w:val="24"/>
          <w:szCs w:val="24"/>
        </w:rPr>
        <w:t>14.07.2020</w:t>
      </w:r>
    </w:p>
    <w:p w:rsidR="008F04C9" w:rsidRPr="008F04C9" w:rsidRDefault="008F04C9" w:rsidP="008F04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3237"/>
          <w:sz w:val="24"/>
          <w:szCs w:val="24"/>
        </w:rPr>
      </w:pPr>
      <w:r w:rsidRPr="008F04C9">
        <w:rPr>
          <w:rFonts w:ascii="Times New Roman" w:eastAsia="Times New Roman" w:hAnsi="Times New Roman" w:cs="Times New Roman"/>
          <w:b/>
          <w:bCs/>
          <w:color w:val="293237"/>
          <w:sz w:val="24"/>
          <w:szCs w:val="24"/>
        </w:rPr>
        <w:t xml:space="preserve">м. </w:t>
      </w:r>
      <w:proofErr w:type="spellStart"/>
      <w:r w:rsidRPr="008F04C9">
        <w:rPr>
          <w:rFonts w:ascii="Times New Roman" w:eastAsia="Times New Roman" w:hAnsi="Times New Roman" w:cs="Times New Roman"/>
          <w:b/>
          <w:bCs/>
          <w:color w:val="293237"/>
          <w:sz w:val="24"/>
          <w:szCs w:val="24"/>
        </w:rPr>
        <w:t>Київ</w:t>
      </w:r>
      <w:proofErr w:type="spellEnd"/>
    </w:p>
    <w:p w:rsidR="008F04C9" w:rsidRPr="008F04C9" w:rsidRDefault="008F04C9" w:rsidP="008F0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3237"/>
          <w:sz w:val="24"/>
          <w:szCs w:val="24"/>
        </w:rPr>
      </w:pPr>
      <w:r w:rsidRPr="008F04C9">
        <w:rPr>
          <w:rFonts w:ascii="Times New Roman" w:eastAsia="Times New Roman" w:hAnsi="Times New Roman" w:cs="Times New Roman"/>
          <w:b/>
          <w:bCs/>
          <w:color w:val="293237"/>
          <w:sz w:val="24"/>
          <w:szCs w:val="24"/>
        </w:rPr>
        <w:t>2409/5</w:t>
      </w:r>
    </w:p>
    <w:p w:rsidR="008F04C9" w:rsidRPr="008F04C9" w:rsidRDefault="008F04C9" w:rsidP="008F04C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</w:pPr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 xml:space="preserve">Про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>деякі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>питання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>впровадження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>оновленого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>програмного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>забезпечення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>Єдиного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 xml:space="preserve"> державного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>реєстру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>юридичних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>осіб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 xml:space="preserve">,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>фізичних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>осіб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 xml:space="preserve"> –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>підприємців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 xml:space="preserve"> та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>громадських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kern w:val="36"/>
          <w:sz w:val="24"/>
          <w:szCs w:val="24"/>
          <w:lang w:val="ru-RU"/>
        </w:rPr>
        <w:t>формувань</w:t>
      </w:r>
      <w:proofErr w:type="spellEnd"/>
    </w:p>
    <w:p w:rsidR="008F04C9" w:rsidRPr="008F04C9" w:rsidRDefault="008F04C9" w:rsidP="008F04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93237"/>
          <w:sz w:val="24"/>
          <w:szCs w:val="24"/>
          <w:lang w:val="ru-RU"/>
        </w:rPr>
      </w:pP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  <w:lang w:val="ru-RU"/>
        </w:rPr>
        <w:t>Зареєстровано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  <w:lang w:val="ru-RU"/>
        </w:rPr>
        <w:t xml:space="preserve"> в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  <w:lang w:val="ru-RU"/>
        </w:rPr>
        <w:t>Міністерстві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  <w:lang w:val="ru-RU"/>
        </w:rPr>
        <w:t>юстиції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  <w:lang w:val="ru-RU"/>
        </w:rPr>
        <w:t>України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  <w:lang w:val="ru-RU"/>
        </w:rPr>
        <w:br/>
        <w:t xml:space="preserve">17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  <w:lang w:val="ru-RU"/>
        </w:rPr>
        <w:t>липня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  <w:lang w:val="ru-RU"/>
        </w:rPr>
        <w:t xml:space="preserve"> 2020 р. за № 672/34955</w:t>
      </w:r>
    </w:p>
    <w:p w:rsidR="008F04C9" w:rsidRPr="008F04C9" w:rsidRDefault="008F04C9" w:rsidP="008F0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</w:pP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Відповідно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до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підпункту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2</w:t>
      </w:r>
      <w:r w:rsidRPr="008F04C9">
        <w:rPr>
          <w:rFonts w:ascii="Times New Roman" w:eastAsia="Times New Roman" w:hAnsi="Times New Roman" w:cs="Times New Roman"/>
          <w:b/>
          <w:bCs/>
          <w:color w:val="293237"/>
          <w:sz w:val="24"/>
          <w:szCs w:val="24"/>
          <w:vertAlign w:val="superscript"/>
          <w:lang w:val="ru-RU"/>
        </w:rPr>
        <w:t>2</w:t>
      </w:r>
      <w:r w:rsidRPr="008F04C9">
        <w:rPr>
          <w:rFonts w:ascii="Times New Roman" w:eastAsia="Times New Roman" w:hAnsi="Times New Roman" w:cs="Times New Roman"/>
          <w:b/>
          <w:bCs/>
          <w:color w:val="293237"/>
          <w:sz w:val="24"/>
          <w:szCs w:val="24"/>
          <w:vertAlign w:val="superscript"/>
        </w:rPr>
        <w:t> </w:t>
      </w:r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пункту 3, пункту 10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Положення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про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Міністерство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юстиції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України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,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затвердженого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постановою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Кабінету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Міністрів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України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від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02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липня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2014 року № 228, з метою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забезпечення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здійснення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організаційно-технічних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заходів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з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впровадження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оновленого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програмного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забезпечення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Єдиного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державного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реєстру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юридичних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осіб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,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фізичних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осіб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–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підприємців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та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громадських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формувань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(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далі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–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Єдиний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державний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реєстр) в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промислову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експлуатацію</w:t>
      </w:r>
      <w:proofErr w:type="spellEnd"/>
    </w:p>
    <w:p w:rsidR="008F04C9" w:rsidRPr="008F04C9" w:rsidRDefault="008F04C9" w:rsidP="008F0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3237"/>
          <w:sz w:val="24"/>
          <w:szCs w:val="24"/>
        </w:rPr>
      </w:pPr>
      <w:r w:rsidRPr="008F04C9">
        <w:rPr>
          <w:rFonts w:ascii="Times New Roman" w:eastAsia="Times New Roman" w:hAnsi="Times New Roman" w:cs="Times New Roman"/>
          <w:b/>
          <w:bCs/>
          <w:color w:val="293237"/>
          <w:sz w:val="24"/>
          <w:szCs w:val="24"/>
        </w:rPr>
        <w:t>НАКАЗУЮ:</w:t>
      </w:r>
    </w:p>
    <w:p w:rsidR="008F04C9" w:rsidRPr="008F04C9" w:rsidRDefault="008F04C9" w:rsidP="008F04C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</w:pPr>
      <w:bookmarkStart w:id="0" w:name="_GoBack"/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Визначити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період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впровадження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оновленого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програмного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забезпечення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Єдиного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державного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реєстру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 xml:space="preserve"> з 00.00 05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серпня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 xml:space="preserve"> 2020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року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до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 xml:space="preserve"> 23.59 16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серпня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 xml:space="preserve"> 2020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року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 xml:space="preserve">,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якщо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більш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ранній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термін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закінчення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цього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періоду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не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визначено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 xml:space="preserve"> в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оголошенні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 xml:space="preserve">,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розміщеному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на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вебсайті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Міністерства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юстиції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України</w:t>
      </w:r>
      <w:proofErr w:type="spellEnd"/>
      <w:r w:rsidRPr="008F04C9">
        <w:rPr>
          <w:rFonts w:ascii="Times New Roman" w:eastAsia="Times New Roman" w:hAnsi="Times New Roman" w:cs="Times New Roman"/>
          <w:b/>
          <w:color w:val="293237"/>
          <w:sz w:val="24"/>
          <w:szCs w:val="24"/>
        </w:rPr>
        <w:t>.</w:t>
      </w:r>
    </w:p>
    <w:bookmarkEnd w:id="0"/>
    <w:p w:rsidR="008F04C9" w:rsidRPr="008F04C9" w:rsidRDefault="008F04C9" w:rsidP="008F04C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93237"/>
          <w:sz w:val="24"/>
          <w:szCs w:val="24"/>
        </w:rPr>
      </w:pP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</w:rPr>
        <w:t>Установити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</w:rPr>
        <w:t xml:space="preserve">,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</w:rPr>
        <w:t>що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</w:rPr>
        <w:t>:</w:t>
      </w:r>
    </w:p>
    <w:p w:rsidR="008F04C9" w:rsidRPr="008F04C9" w:rsidRDefault="008F04C9" w:rsidP="008F04C9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</w:pPr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у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період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впровадження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оновленого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програмного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забезпечення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Єдиного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державного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реєстру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прийом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документів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,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що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подаються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для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державної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реєстрації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юридичних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осіб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,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фізичних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осіб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–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підприємців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та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громадських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формувань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, не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здійснюється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;</w:t>
      </w:r>
    </w:p>
    <w:p w:rsidR="008F04C9" w:rsidRPr="008F04C9" w:rsidRDefault="008F04C9" w:rsidP="008F04C9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</w:pP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розгляд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документів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,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поданих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для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державної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реєстрації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юридичних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осіб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,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фізичних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осіб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–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підприємців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та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громадських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формувань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до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періоду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впровадження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оновленого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програмного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забезпечення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Єдиного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державного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реєстру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та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сплив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строку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розгляду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яких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припадає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на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відповідний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період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,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здійснюється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державними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реєстраторами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юридичних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осіб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,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фізичних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осіб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–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підприємців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та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громадських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формувань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до 18.00 07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серпня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2020 року;</w:t>
      </w:r>
    </w:p>
    <w:p w:rsidR="008F04C9" w:rsidRPr="008F04C9" w:rsidRDefault="008F04C9" w:rsidP="008F0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</w:pPr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3)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розгляд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документів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,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поданих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для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державної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реєстрації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юридичних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осіб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,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фізичних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осіб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–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підприємців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та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громадських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формувань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до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періоду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впровадження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оновленого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програмного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забезпечення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Єдиного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державного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реєстру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,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після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завершення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такого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періоду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здійснюється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за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допомогою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оновленого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програмного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забезпечення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Єдиного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державного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реєстру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шляхом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прийняття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відмови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в державній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реєстрації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з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технічних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причин та повторного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прийняття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документів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для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проведення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відповідної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реєстраційної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дії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без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додаткового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справляння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адміністративного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збору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.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Перебіг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строку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розгляду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документів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,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поданих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для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державної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реєстрації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,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продовжується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з моменту нового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прийняття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документів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з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урахуванням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часу,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що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минув до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періоду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впровадження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оновленого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програмного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забезпечення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Єдиного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державного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реєстру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.</w:t>
      </w:r>
    </w:p>
    <w:p w:rsidR="008F04C9" w:rsidRPr="008F04C9" w:rsidRDefault="008F04C9" w:rsidP="008F04C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</w:pP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Технічному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адміністратору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Єдиного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державного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реєстру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забезпечити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:</w:t>
      </w:r>
    </w:p>
    <w:p w:rsidR="008F04C9" w:rsidRPr="008F04C9" w:rsidRDefault="008F04C9" w:rsidP="008F0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</w:pPr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1)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зупинення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з 18.00 07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серпня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2020 року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функціонування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діючого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програмного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забезпечення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Єдиного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державного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реєстру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;</w:t>
      </w:r>
    </w:p>
    <w:p w:rsidR="008F04C9" w:rsidRPr="008F04C9" w:rsidRDefault="008F04C9" w:rsidP="008F0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</w:pPr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2)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перенесення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інформації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з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діючого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програмного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забезпечення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Єдиного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державного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реєстру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до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оновленого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програмного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забезпечення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цього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реєстру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;</w:t>
      </w:r>
    </w:p>
    <w:p w:rsidR="008F04C9" w:rsidRPr="008F04C9" w:rsidRDefault="008F04C9" w:rsidP="008F0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</w:pPr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3)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введення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оновленого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програмного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забезпечення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Єдиного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державного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реєстру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в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промислову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експлуатацію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з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обов’язковим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розміщенням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відповідного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оголошення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на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вебсайті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Міністерства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юстиції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України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та на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власному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вебсайті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.</w:t>
      </w:r>
    </w:p>
    <w:p w:rsidR="008F04C9" w:rsidRPr="008F04C9" w:rsidRDefault="008F04C9" w:rsidP="008F04C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</w:pPr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Департаменту приватного права (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Ференс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О.) подати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цей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наказ на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державну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реєстрацію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відповідно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до Указу Президента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України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від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03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жовтня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1992 року № 493 «Про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державну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реєстрацію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нормативно-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правових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актів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міністерств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та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інших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органів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виконавчої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влади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».</w:t>
      </w:r>
    </w:p>
    <w:p w:rsidR="008F04C9" w:rsidRPr="008F04C9" w:rsidRDefault="008F04C9" w:rsidP="008F04C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</w:pP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Цей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наказ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набирає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чинності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з дня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його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офіційного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опублікування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.</w:t>
      </w:r>
    </w:p>
    <w:p w:rsidR="008F04C9" w:rsidRPr="008F04C9" w:rsidRDefault="008F04C9" w:rsidP="008F04C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</w:pPr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Контроль за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виконанням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цього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наказу </w:t>
      </w:r>
      <w:proofErr w:type="spellStart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>залишаю</w:t>
      </w:r>
      <w:proofErr w:type="spellEnd"/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  <w:t xml:space="preserve"> за собою.</w:t>
      </w:r>
    </w:p>
    <w:p w:rsidR="008F04C9" w:rsidRPr="008F04C9" w:rsidRDefault="008F04C9" w:rsidP="008F0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</w:pPr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</w:rPr>
        <w:t> </w:t>
      </w:r>
    </w:p>
    <w:p w:rsidR="008F04C9" w:rsidRPr="008F04C9" w:rsidRDefault="008F04C9" w:rsidP="008F0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3237"/>
          <w:sz w:val="24"/>
          <w:szCs w:val="24"/>
          <w:lang w:val="ru-RU"/>
        </w:rPr>
      </w:pPr>
      <w:r w:rsidRPr="008F04C9">
        <w:rPr>
          <w:rFonts w:ascii="Times New Roman" w:eastAsia="Times New Roman" w:hAnsi="Times New Roman" w:cs="Times New Roman"/>
          <w:color w:val="293237"/>
          <w:sz w:val="24"/>
          <w:szCs w:val="24"/>
        </w:rPr>
        <w:t> </w:t>
      </w:r>
    </w:p>
    <w:p w:rsidR="008F04C9" w:rsidRPr="008F04C9" w:rsidRDefault="008F04C9" w:rsidP="008F0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3237"/>
          <w:sz w:val="24"/>
          <w:szCs w:val="24"/>
        </w:rPr>
      </w:pPr>
      <w:r w:rsidRPr="008F04C9">
        <w:rPr>
          <w:rFonts w:ascii="Times New Roman" w:eastAsia="Times New Roman" w:hAnsi="Times New Roman" w:cs="Times New Roman"/>
          <w:b/>
          <w:bCs/>
          <w:color w:val="293237"/>
          <w:sz w:val="24"/>
          <w:szCs w:val="24"/>
        </w:rPr>
        <w:t xml:space="preserve">Міністр                                                                                 </w:t>
      </w:r>
      <w:proofErr w:type="spellStart"/>
      <w:r w:rsidRPr="008F04C9">
        <w:rPr>
          <w:rFonts w:ascii="Times New Roman" w:eastAsia="Times New Roman" w:hAnsi="Times New Roman" w:cs="Times New Roman"/>
          <w:b/>
          <w:bCs/>
          <w:color w:val="293237"/>
          <w:sz w:val="24"/>
          <w:szCs w:val="24"/>
        </w:rPr>
        <w:t>Денис</w:t>
      </w:r>
      <w:proofErr w:type="spellEnd"/>
      <w:r w:rsidRPr="008F04C9">
        <w:rPr>
          <w:rFonts w:ascii="Times New Roman" w:eastAsia="Times New Roman" w:hAnsi="Times New Roman" w:cs="Times New Roman"/>
          <w:b/>
          <w:bCs/>
          <w:color w:val="293237"/>
          <w:sz w:val="24"/>
          <w:szCs w:val="24"/>
        </w:rPr>
        <w:t xml:space="preserve"> МАЛЮСЬКА</w:t>
      </w:r>
    </w:p>
    <w:p w:rsidR="00097993" w:rsidRPr="008F04C9" w:rsidRDefault="00097993" w:rsidP="008F04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97993" w:rsidRPr="008F04C9" w:rsidSect="008F04C9">
      <w:pgSz w:w="12240" w:h="15840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31823"/>
    <w:multiLevelType w:val="multilevel"/>
    <w:tmpl w:val="5A189E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BD76A7"/>
    <w:multiLevelType w:val="multilevel"/>
    <w:tmpl w:val="6CC2C3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2B3466"/>
    <w:multiLevelType w:val="multilevel"/>
    <w:tmpl w:val="EDD8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C72"/>
    <w:rsid w:val="00097993"/>
    <w:rsid w:val="008F04C9"/>
    <w:rsid w:val="00A9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8A088"/>
  <w15:chartTrackingRefBased/>
  <w15:docId w15:val="{3244ECAD-891B-4088-A553-7DA150CF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04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F04C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F04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F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0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492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0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18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69022">
                      <w:marLeft w:val="0"/>
                      <w:marRight w:val="0"/>
                      <w:marTop w:val="600"/>
                      <w:marBottom w:val="8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23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4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4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2020-07-22T06:13:00Z</cp:lastPrinted>
  <dcterms:created xsi:type="dcterms:W3CDTF">2020-07-22T06:07:00Z</dcterms:created>
  <dcterms:modified xsi:type="dcterms:W3CDTF">2020-07-22T06:15:00Z</dcterms:modified>
</cp:coreProperties>
</file>