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7DDA">
      <w:pPr>
        <w:tabs>
          <w:tab w:val="left" w:pos="7088"/>
        </w:tabs>
        <w:spacing w:line="240" w:lineRule="auto"/>
        <w:ind w:left="7080"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Додаток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00000" w:rsidRDefault="00297DDA">
      <w:pPr>
        <w:tabs>
          <w:tab w:val="left" w:pos="7088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листа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начальника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</w:p>
    <w:p w:rsidR="00000000" w:rsidRDefault="00297DDA">
      <w:pPr>
        <w:tabs>
          <w:tab w:val="left" w:pos="7088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______________</w:t>
      </w:r>
    </w:p>
    <w:p w:rsidR="00000000" w:rsidRDefault="00297DDA">
      <w:pPr>
        <w:tabs>
          <w:tab w:val="left" w:pos="7088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00000" w:rsidRDefault="00297DDA">
      <w:pPr>
        <w:tabs>
          <w:tab w:val="left" w:pos="7088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уваги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громадян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які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відчужили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нерухоме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майно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22.06.2018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року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Реєстрі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власності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залишився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запис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власність</w:t>
      </w:r>
    </w:p>
    <w:p w:rsidR="00000000" w:rsidRDefault="00297DDA">
      <w:pPr>
        <w:tabs>
          <w:tab w:val="left" w:pos="7088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22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червня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2018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редакція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Порядку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ведення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речових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затве</w:t>
      </w:r>
      <w:r>
        <w:rPr>
          <w:rFonts w:ascii="Times New Roman" w:hAnsi="Times New Roman"/>
          <w:sz w:val="28"/>
          <w:szCs w:val="28"/>
          <w:shd w:val="clear" w:color="auto" w:fill="FFFFFF"/>
        </w:rPr>
        <w:t>рдженого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Кабінету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Міністрів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26 </w:t>
      </w:r>
      <w:r>
        <w:rPr>
          <w:rFonts w:ascii="Times New Roman" w:hAnsi="Times New Roman"/>
          <w:sz w:val="28"/>
          <w:szCs w:val="28"/>
          <w:shd w:val="clear" w:color="auto" w:fill="FFFFFF"/>
        </w:rPr>
        <w:t>жовтня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2011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1141(</w:t>
      </w:r>
      <w:r>
        <w:rPr>
          <w:rFonts w:ascii="Times New Roman" w:hAnsi="Times New Roman"/>
          <w:sz w:val="28"/>
          <w:szCs w:val="28"/>
          <w:shd w:val="clear" w:color="auto" w:fill="FFFFFF"/>
        </w:rPr>
        <w:t>далі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Порядок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000000" w:rsidRDefault="00297DDA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Порядком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визначено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невід’ємною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архівною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складовою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частиною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речових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далі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вла</w:t>
      </w:r>
      <w:r>
        <w:rPr>
          <w:rFonts w:ascii="Times New Roman" w:hAnsi="Times New Roman"/>
          <w:sz w:val="28"/>
          <w:szCs w:val="28"/>
          <w:shd w:val="clear" w:color="auto" w:fill="FFFFFF"/>
        </w:rPr>
        <w:t>сності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Єдиний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заборон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відчуження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об’єктів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нерухомого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іпотек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000" w:rsidRDefault="00297DDA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Відомості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невід’ємної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архівної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складової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частини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використовуються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реєстратором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проведення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еєстрації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встановлення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наявності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відсутності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записів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їх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обтяжень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числі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метою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їх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перенесення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погашення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випадках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передбачених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Порядком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000" w:rsidRDefault="00297DDA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Пунктом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45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Порядку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встановлено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яких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проведено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січня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2013 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архівній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складовій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частині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після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внесення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відомостей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власності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перенесення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архівної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складової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частини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записів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інше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речове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обтяження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реєстратор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проставляє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власності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Єдиному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заборон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відчуження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об’єктів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нерухомого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іпотек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відмітку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погашення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запису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000" w:rsidRDefault="00297DDA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цього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пункту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частині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проставлення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відмітки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погашення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запису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власності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Єдиному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заборон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відчуження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об’єктів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нерухомого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еєстрі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іпотек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застосовуються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також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реєстрація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вже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проведена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проставлення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відповідної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відмітки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проведення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наступних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реєстраційних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об’єкта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нерухомого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умови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належн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ідентифікації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об’єкта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відповідних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відсутності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необхідності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проведення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реєстраційних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заявою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внесення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змін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записів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Державного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000" w:rsidRDefault="00297DDA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заяву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може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подати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також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записи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влас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залишилися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проставлення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відмітки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погашення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її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спадкоємці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правонаступники</w:t>
      </w:r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000000" w:rsidRDefault="00297DDA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>Що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стосується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строку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EFEFE"/>
        </w:rPr>
        <w:t>протягом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якого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вносяться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зміни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до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записів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Державного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реєстру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прав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EFEFE"/>
        </w:rPr>
        <w:t>то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він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не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перевищує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одного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робочого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дня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з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дня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реєстрац</w:t>
      </w:r>
      <w:r>
        <w:rPr>
          <w:rFonts w:ascii="Times New Roman" w:hAnsi="Times New Roman"/>
          <w:sz w:val="28"/>
          <w:szCs w:val="28"/>
          <w:shd w:val="clear" w:color="auto" w:fill="FEFEFE"/>
        </w:rPr>
        <w:t>ії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відповідної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заяви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у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Державному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реєстрі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прав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. </w:t>
      </w:r>
    </w:p>
    <w:p w:rsidR="00000000" w:rsidRDefault="00297DDA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>Також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заявник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має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сплатити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адміністративний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EFE"/>
        </w:rPr>
        <w:t>збір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EFEFE"/>
        </w:rPr>
        <w:t>у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2019 </w:t>
      </w:r>
      <w:r>
        <w:rPr>
          <w:rFonts w:ascii="Times New Roman" w:hAnsi="Times New Roman"/>
          <w:sz w:val="28"/>
          <w:szCs w:val="28"/>
          <w:shd w:val="clear" w:color="auto" w:fill="FEFEFE"/>
        </w:rPr>
        <w:t>році</w:t>
      </w: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  - 80 </w:t>
      </w:r>
      <w:r>
        <w:rPr>
          <w:rFonts w:ascii="Times New Roman" w:hAnsi="Times New Roman"/>
          <w:sz w:val="28"/>
          <w:szCs w:val="28"/>
          <w:shd w:val="clear" w:color="auto" w:fill="FEFEFE"/>
        </w:rPr>
        <w:lastRenderedPageBreak/>
        <w:t>гривень</w:t>
      </w:r>
      <w:r>
        <w:rPr>
          <w:rFonts w:ascii="Times New Roman" w:hAnsi="Times New Roman"/>
          <w:sz w:val="28"/>
          <w:szCs w:val="28"/>
          <w:shd w:val="clear" w:color="auto" w:fill="FEFEFE"/>
        </w:rPr>
        <w:t>).</w:t>
      </w:r>
    </w:p>
    <w:p w:rsidR="00000000" w:rsidRDefault="00297DDA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територіальне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</w:p>
    <w:p w:rsidR="00000000" w:rsidRDefault="00297DDA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юстиції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Луганській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</w:p>
    <w:p w:rsidR="00297DDA" w:rsidRDefault="00297DDA">
      <w:pPr>
        <w:tabs>
          <w:tab w:val="left" w:pos="7088"/>
        </w:tabs>
        <w:spacing w:after="160"/>
        <w:rPr>
          <w:rFonts w:ascii="Times New Roman" w:hAnsi="Times New Roman"/>
          <w:sz w:val="28"/>
          <w:szCs w:val="28"/>
        </w:rPr>
      </w:pPr>
    </w:p>
    <w:sectPr w:rsidR="00297DDA">
      <w:pgSz w:w="11906" w:h="16838"/>
      <w:pgMar w:top="1134" w:right="567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44"/>
    <w:rsid w:val="00297DDA"/>
    <w:rsid w:val="00B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AE51AD-8206-4FEC-928F-6D557D5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Pr>
      <w:sz w:val="22"/>
      <w:szCs w:val="22"/>
    </w:rPr>
  </w:style>
  <w:style w:type="character" w:styleId="a4">
    <w:name w:val="Hyperlink"/>
    <w:basedOn w:val="a0"/>
    <w:uiPriority w:val="99"/>
    <w:rPr>
      <w:color w:val="0000FF"/>
      <w:sz w:val="22"/>
      <w:szCs w:val="22"/>
      <w:u w:val="single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Демьян</cp:lastModifiedBy>
  <cp:revision>2</cp:revision>
  <dcterms:created xsi:type="dcterms:W3CDTF">2019-09-04T13:35:00Z</dcterms:created>
  <dcterms:modified xsi:type="dcterms:W3CDTF">2019-09-04T13:35:00Z</dcterms:modified>
</cp:coreProperties>
</file>